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5AE41B15"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2AA9C4E1">
                <wp:simplePos x="0" y="0"/>
                <wp:positionH relativeFrom="column">
                  <wp:posOffset>-399393</wp:posOffset>
                </wp:positionH>
                <wp:positionV relativeFrom="page">
                  <wp:posOffset>241738</wp:posOffset>
                </wp:positionV>
                <wp:extent cx="7020801" cy="504902"/>
                <wp:effectExtent l="0" t="0" r="0" b="0"/>
                <wp:wrapNone/>
                <wp:docPr id="1633243681" name="Text Box 1633243681" descr="Antibiotic Lock Therapy: Healthcare Providers"/>
                <wp:cNvGraphicFramePr/>
                <a:graphic xmlns:a="http://schemas.openxmlformats.org/drawingml/2006/main">
                  <a:graphicData uri="http://schemas.microsoft.com/office/word/2010/wordprocessingShape">
                    <wps:wsp>
                      <wps:cNvSpPr txBox="1"/>
                      <wps:spPr>
                        <a:xfrm>
                          <a:off x="0" y="0"/>
                          <a:ext cx="7020801" cy="504902"/>
                        </a:xfrm>
                        <a:prstGeom prst="rect">
                          <a:avLst/>
                        </a:prstGeom>
                        <a:noFill/>
                        <a:ln w="6350">
                          <a:noFill/>
                        </a:ln>
                      </wps:spPr>
                      <wps:txbx>
                        <w:txbxContent>
                          <w:p w14:paraId="4DB4D4A5" w14:textId="33EA7E62" w:rsidR="00FC6B0F" w:rsidRPr="00B54CF7" w:rsidRDefault="00690A78" w:rsidP="00690A78">
                            <w:pPr>
                              <w:pStyle w:val="Title"/>
                            </w:pPr>
                            <w:r>
                              <w:t>Antibiotic Lock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Antibiotic Lock Therapy: Healthcare Providers" style="position:absolute;left:0;text-align:left;margin-left:-31.45pt;margin-top:19.05pt;width:552.8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" filled="f" stroked="f" strokeweight=".5pt">
                <v:textbox>
                  <w:txbxContent>
                    <w:p w14:paraId="4DB4D4A5" w14:textId="33EA7E62" w:rsidR="00FC6B0F" w:rsidRPr="00B54CF7" w:rsidRDefault="00690A78" w:rsidP="00690A78">
                      <w:pPr>
                        <w:pStyle w:val="Title"/>
                      </w:pPr>
                      <w:r>
                        <w:t>Antibiotic Lock Therapy</w:t>
                      </w:r>
                    </w:p>
                  </w:txbxContent>
                </v:textbox>
                <w10:wrap anchory="page"/>
              </v:shape>
            </w:pict>
          </mc:Fallback>
        </mc:AlternateContent>
      </w:r>
    </w:p>
    <w:p w14:paraId="547D3229" w14:textId="7A6275CB" w:rsidR="006B4E5A" w:rsidRDefault="00057F2D" w:rsidP="00B14C70">
      <w:pPr>
        <w:pStyle w:val="TableParagraph"/>
      </w:pPr>
      <w:r>
        <w:tab/>
      </w:r>
    </w:p>
    <w:p w14:paraId="1CB656DB" w14:textId="77777777" w:rsidR="00690A78" w:rsidRPr="00C52C01" w:rsidRDefault="00690A78" w:rsidP="00690A78">
      <w:pPr>
        <w:pStyle w:val="emphasistext"/>
        <w:rPr>
          <w:rFonts w:ascii="Calibri Light" w:hAnsi="Calibri Light" w:cs="Calibri Light"/>
        </w:rPr>
      </w:pPr>
      <w:r w:rsidRPr="00C52C01">
        <w:rPr>
          <w:rFonts w:ascii="Calibri Light" w:hAnsi="Calibri Light" w:cs="Calibri Light"/>
        </w:rPr>
        <w:t>BACKGROUND:</w:t>
      </w:r>
    </w:p>
    <w:p w14:paraId="1A2ED0E6" w14:textId="35723F8E" w:rsidR="00690A78" w:rsidRPr="00C52C01" w:rsidRDefault="00690A78" w:rsidP="00690A78">
      <w:pPr>
        <w:pStyle w:val="BodyText"/>
        <w:rPr>
          <w:rFonts w:ascii="Calibri Light" w:hAnsi="Calibri Light" w:cs="Calibri Light"/>
        </w:rPr>
      </w:pPr>
      <w:r w:rsidRPr="00C52C01">
        <w:rPr>
          <w:rFonts w:ascii="Calibri Light" w:hAnsi="Calibri Light" w:cs="Calibri Light"/>
        </w:rPr>
        <w:t xml:space="preserve">Antibiotic lock therapy </w:t>
      </w:r>
      <w:r w:rsidR="003E6A00" w:rsidRPr="00C52C01">
        <w:rPr>
          <w:rFonts w:ascii="Calibri Light" w:hAnsi="Calibri Light" w:cs="Calibri Light"/>
        </w:rPr>
        <w:t>uses</w:t>
      </w:r>
      <w:r w:rsidRPr="00C52C01">
        <w:rPr>
          <w:rFonts w:ascii="Calibri Light" w:hAnsi="Calibri Light" w:cs="Calibri Light"/>
        </w:rPr>
        <w:t xml:space="preserve"> IV antibiotics to clear certain types of infections from IV lines, or to prevent future ones. </w:t>
      </w:r>
    </w:p>
    <w:p w14:paraId="690CC90B" w14:textId="77777777" w:rsidR="00E4328F" w:rsidRPr="00C52C01" w:rsidRDefault="00E4328F" w:rsidP="00690A78">
      <w:pPr>
        <w:pStyle w:val="BodyText"/>
        <w:rPr>
          <w:rFonts w:ascii="Calibri Light" w:hAnsi="Calibri Light" w:cs="Calibri Light"/>
        </w:rPr>
      </w:pPr>
    </w:p>
    <w:p w14:paraId="1110CA05" w14:textId="7AFD0D30" w:rsidR="00690A78" w:rsidRPr="00C52C01" w:rsidRDefault="00690A78" w:rsidP="00690A78">
      <w:pPr>
        <w:pStyle w:val="BodyText"/>
        <w:rPr>
          <w:rFonts w:ascii="Calibri Light" w:hAnsi="Calibri Light" w:cs="Calibri Light"/>
        </w:rPr>
      </w:pPr>
      <w:r w:rsidRPr="00C52C01">
        <w:rPr>
          <w:rFonts w:ascii="Calibri Light" w:hAnsi="Calibri Light" w:cs="Calibri Light"/>
        </w:rPr>
        <w:t>If you are using antibiotic lock therapy, you should put treatment antibiotics through the</w:t>
      </w:r>
      <w:r w:rsidR="003E6A00" w:rsidRPr="00C52C01">
        <w:rPr>
          <w:rFonts w:ascii="Calibri Light" w:hAnsi="Calibri Light" w:cs="Calibri Light"/>
        </w:rPr>
        <w:t xml:space="preserve"> infected</w:t>
      </w:r>
      <w:r w:rsidRPr="00C52C01">
        <w:rPr>
          <w:rFonts w:ascii="Calibri Light" w:hAnsi="Calibri Light" w:cs="Calibri Light"/>
        </w:rPr>
        <w:t xml:space="preserve"> IV line.   </w:t>
      </w:r>
    </w:p>
    <w:p w14:paraId="7DB3551F" w14:textId="77777777" w:rsidR="00E4328F" w:rsidRPr="00C52C01" w:rsidRDefault="00E4328F" w:rsidP="00690A78">
      <w:pPr>
        <w:pStyle w:val="BodyText"/>
        <w:rPr>
          <w:rFonts w:ascii="Calibri Light" w:hAnsi="Calibri Light" w:cs="Calibri Light"/>
        </w:rPr>
      </w:pPr>
    </w:p>
    <w:p w14:paraId="4C22D9B6" w14:textId="77777777" w:rsidR="00690A78" w:rsidRPr="00C52C01" w:rsidRDefault="00690A78" w:rsidP="00690A78">
      <w:pPr>
        <w:pStyle w:val="BodyText"/>
        <w:rPr>
          <w:rFonts w:ascii="Calibri Light" w:hAnsi="Calibri Light" w:cs="Calibri Light"/>
        </w:rPr>
      </w:pPr>
      <w:r w:rsidRPr="00C52C01">
        <w:rPr>
          <w:rFonts w:ascii="Calibri Light" w:hAnsi="Calibri Light" w:cs="Calibri Light"/>
        </w:rPr>
        <w:t xml:space="preserve">Antibiotic lock therapy comes with heparin. Let your doctor know if you cannot take heparin. </w:t>
      </w:r>
    </w:p>
    <w:p w14:paraId="70070849" w14:textId="77777777" w:rsidR="00690A78" w:rsidRPr="00C52C01" w:rsidRDefault="00690A78" w:rsidP="00690A78">
      <w:pPr>
        <w:pStyle w:val="BodyText"/>
        <w:rPr>
          <w:rFonts w:ascii="Calibri Light" w:hAnsi="Calibri Light" w:cs="Calibri Light"/>
        </w:rPr>
      </w:pPr>
    </w:p>
    <w:p w14:paraId="58D5CB4F" w14:textId="77777777" w:rsidR="00690A78" w:rsidRPr="00C52C01" w:rsidRDefault="00690A78" w:rsidP="00690A78">
      <w:pPr>
        <w:pStyle w:val="emphasistext"/>
        <w:rPr>
          <w:rFonts w:ascii="Calibri Light" w:hAnsi="Calibri Light" w:cs="Calibri Light"/>
        </w:rPr>
      </w:pPr>
      <w:r w:rsidRPr="00C52C01">
        <w:rPr>
          <w:rFonts w:ascii="Calibri Light" w:hAnsi="Calibri Light" w:cs="Calibri Light"/>
        </w:rPr>
        <w:t xml:space="preserve">Procedure: </w:t>
      </w:r>
    </w:p>
    <w:p w14:paraId="1CE57A08" w14:textId="2A93F48C" w:rsidR="00690A78" w:rsidRPr="00C52C01" w:rsidRDefault="00690A78" w:rsidP="00690A78">
      <w:pPr>
        <w:pStyle w:val="BodyText"/>
        <w:rPr>
          <w:rFonts w:ascii="Calibri Light" w:hAnsi="Calibri Light" w:cs="Calibri Light"/>
        </w:rPr>
      </w:pPr>
      <w:r w:rsidRPr="00C52C01">
        <w:rPr>
          <w:rFonts w:ascii="Calibri Light" w:hAnsi="Calibri Light" w:cs="Calibri Light"/>
          <w:b/>
          <w:bCs/>
        </w:rPr>
        <w:t xml:space="preserve">Do not inject </w:t>
      </w:r>
      <w:r w:rsidR="00CB631C" w:rsidRPr="00C52C01">
        <w:rPr>
          <w:rFonts w:ascii="Calibri Light" w:hAnsi="Calibri Light" w:cs="Calibri Light"/>
          <w:b/>
          <w:bCs/>
        </w:rPr>
        <w:t xml:space="preserve">or flush </w:t>
      </w:r>
      <w:r w:rsidR="08898585" w:rsidRPr="00C52C01">
        <w:rPr>
          <w:rFonts w:ascii="Calibri Light" w:hAnsi="Calibri Light" w:cs="Calibri Light"/>
          <w:b/>
          <w:bCs/>
        </w:rPr>
        <w:t xml:space="preserve">through the </w:t>
      </w:r>
      <w:r w:rsidR="00A33795" w:rsidRPr="00C52C01">
        <w:rPr>
          <w:rFonts w:ascii="Calibri Light" w:hAnsi="Calibri Light" w:cs="Calibri Light"/>
          <w:b/>
          <w:bCs/>
        </w:rPr>
        <w:t>antibiotic</w:t>
      </w:r>
      <w:r w:rsidRPr="00C52C01">
        <w:rPr>
          <w:rFonts w:ascii="Calibri Light" w:hAnsi="Calibri Light" w:cs="Calibri Light"/>
        </w:rPr>
        <w:t xml:space="preserve"> Always remove the antibiotic lock solution before using the IV line! </w:t>
      </w:r>
      <w:r w:rsidR="539F70D4" w:rsidRPr="00C52C01">
        <w:rPr>
          <w:rFonts w:ascii="Calibri Light" w:hAnsi="Calibri Light" w:cs="Calibri Light"/>
        </w:rPr>
        <w:t xml:space="preserve">If you </w:t>
      </w:r>
      <w:r w:rsidR="00A33795" w:rsidRPr="00C52C01">
        <w:rPr>
          <w:rFonts w:ascii="Calibri Light" w:hAnsi="Calibri Light" w:cs="Calibri Light"/>
        </w:rPr>
        <w:t>cannot remove</w:t>
      </w:r>
      <w:r w:rsidR="539F70D4" w:rsidRPr="00C52C01">
        <w:rPr>
          <w:rFonts w:ascii="Calibri Light" w:hAnsi="Calibri Light" w:cs="Calibri Light"/>
        </w:rPr>
        <w:t xml:space="preserve"> the solution, call your nurse.</w:t>
      </w:r>
    </w:p>
    <w:p w14:paraId="4DDFB9C1" w14:textId="77777777" w:rsidR="00A951B9" w:rsidRPr="00C52C01" w:rsidRDefault="00A951B9" w:rsidP="00690A78">
      <w:pPr>
        <w:pStyle w:val="BodyText"/>
        <w:rPr>
          <w:rFonts w:ascii="Calibri Light" w:hAnsi="Calibri Light" w:cs="Calibri Light"/>
        </w:rPr>
      </w:pPr>
    </w:p>
    <w:p w14:paraId="2A8740B3" w14:textId="77777777" w:rsidR="00690A78" w:rsidRPr="00C52C01" w:rsidRDefault="00690A78" w:rsidP="00690A78">
      <w:pPr>
        <w:pStyle w:val="BodyText"/>
        <w:rPr>
          <w:rFonts w:ascii="Calibri Light" w:hAnsi="Calibri Light" w:cs="Calibri Light"/>
        </w:rPr>
      </w:pPr>
      <w:r w:rsidRPr="00C52C01">
        <w:rPr>
          <w:rFonts w:ascii="Calibri Light" w:hAnsi="Calibri Light" w:cs="Calibri Light"/>
        </w:rPr>
        <w:t>The antibiotic lock should stay in your IV line until the next time you use the IV line, or for up to 48 hours.</w:t>
      </w:r>
    </w:p>
    <w:p w14:paraId="1285CA1E" w14:textId="77777777" w:rsidR="00E4328F" w:rsidRPr="00C52C01" w:rsidRDefault="00E4328F" w:rsidP="00690A78">
      <w:pPr>
        <w:pStyle w:val="BodyText"/>
        <w:rPr>
          <w:rFonts w:ascii="Calibri Light" w:hAnsi="Calibri Light" w:cs="Calibri Light"/>
        </w:rPr>
      </w:pPr>
    </w:p>
    <w:p w14:paraId="21C9EAEC" w14:textId="19B8CB7C" w:rsidR="00690A78" w:rsidRPr="00C52C01" w:rsidRDefault="00690A78" w:rsidP="00690A78">
      <w:pPr>
        <w:pStyle w:val="BodyText"/>
        <w:rPr>
          <w:rFonts w:ascii="Calibri Light" w:hAnsi="Calibri Light" w:cs="Calibri Light"/>
        </w:rPr>
      </w:pPr>
      <w:r w:rsidRPr="00C52C01">
        <w:rPr>
          <w:rFonts w:ascii="Calibri Light" w:hAnsi="Calibri Light" w:cs="Calibri Light"/>
        </w:rPr>
        <w:t xml:space="preserve">The antibiotic lock solution should be used in </w:t>
      </w:r>
      <w:r w:rsidRPr="00C52C01">
        <w:rPr>
          <w:rFonts w:ascii="Calibri Light" w:hAnsi="Calibri Light" w:cs="Calibri Light"/>
          <w:b/>
          <w:bCs/>
        </w:rPr>
        <w:t>each side</w:t>
      </w:r>
      <w:r w:rsidRPr="00C52C01">
        <w:rPr>
          <w:rFonts w:ascii="Calibri Light" w:hAnsi="Calibri Light" w:cs="Calibri Light"/>
        </w:rPr>
        <w:t xml:space="preserve"> </w:t>
      </w:r>
      <w:r w:rsidR="00011FD0" w:rsidRPr="00C52C01">
        <w:rPr>
          <w:rFonts w:ascii="Calibri Light" w:hAnsi="Calibri Light" w:cs="Calibri Light"/>
        </w:rPr>
        <w:t xml:space="preserve">or end </w:t>
      </w:r>
      <w:r w:rsidRPr="00C52C01">
        <w:rPr>
          <w:rFonts w:ascii="Calibri Light" w:hAnsi="Calibri Light" w:cs="Calibri Light"/>
        </w:rPr>
        <w:t>of the IV line.</w:t>
      </w:r>
    </w:p>
    <w:p w14:paraId="2ADA0611" w14:textId="77777777" w:rsidR="00A951B9" w:rsidRPr="00C52C01" w:rsidRDefault="00A951B9" w:rsidP="00690A78">
      <w:pPr>
        <w:pStyle w:val="BodyText"/>
        <w:rPr>
          <w:rFonts w:ascii="Calibri Light" w:hAnsi="Calibri Light" w:cs="Calibri Light"/>
        </w:rPr>
      </w:pPr>
    </w:p>
    <w:p w14:paraId="5A4615AE" w14:textId="77777777" w:rsidR="00690A78" w:rsidRPr="00C52C01" w:rsidRDefault="00690A78" w:rsidP="00690A78">
      <w:pPr>
        <w:pStyle w:val="BodyText"/>
        <w:rPr>
          <w:rFonts w:ascii="Calibri Light" w:hAnsi="Calibri Light" w:cs="Calibri Light"/>
        </w:rPr>
      </w:pPr>
      <w:r w:rsidRPr="00C52C01">
        <w:rPr>
          <w:rFonts w:ascii="Calibri Light" w:hAnsi="Calibri Light" w:cs="Calibri Light"/>
        </w:rPr>
        <w:t>Put 10ml of antibiotic lock into each side of the IV line.</w:t>
      </w:r>
    </w:p>
    <w:p w14:paraId="58F94D57" w14:textId="77777777" w:rsidR="00690A78" w:rsidRPr="00C52C01" w:rsidRDefault="00690A78" w:rsidP="00690A78">
      <w:pPr>
        <w:rPr>
          <w:rFonts w:ascii="Calibri Light" w:hAnsi="Calibri Light" w:cs="Calibri Light"/>
          <w:b/>
        </w:rPr>
      </w:pPr>
    </w:p>
    <w:p w14:paraId="4DBAAC05" w14:textId="090DDB62" w:rsidR="00690A78" w:rsidRPr="00C52C01" w:rsidRDefault="00690A78" w:rsidP="00690A78">
      <w:pPr>
        <w:pStyle w:val="emphasistext"/>
        <w:rPr>
          <w:rFonts w:ascii="Calibri Light" w:hAnsi="Calibri Light" w:cs="Calibri Light"/>
        </w:rPr>
      </w:pPr>
      <w:r w:rsidRPr="00C52C01">
        <w:rPr>
          <w:rFonts w:ascii="Calibri Light" w:hAnsi="Calibri Light" w:cs="Calibri Light"/>
        </w:rPr>
        <w:t>Steps:</w:t>
      </w:r>
      <w:sdt>
        <w:sdtPr>
          <w:rPr>
            <w:rFonts w:ascii="Calibri Light" w:hAnsi="Calibri Light" w:cs="Calibri Light"/>
            <w:b w:val="0"/>
            <w:i w:val="0"/>
            <w:color w:val="000000"/>
            <w:shd w:val="clear" w:color="auto" w:fill="E6E6E6"/>
            <w:vertAlign w:val="superscript"/>
          </w:rPr>
          <w:tag w:val="MENDELEY_CITATION_v3_eyJjaXRhdGlvbklEIjoiTUVOREVMRVlfQ0lUQVRJT05fMWQ5N2UyNTAtZTliNy00NzE2LThiM2UtNjc5NWQ0MTJmYjM5IiwicHJvcGVydGllcyI6eyJub3RlSW5kZXgiOjB9LCJpc0VkaXRlZCI6ZmFsc2UsIm1hbnVhbE92ZXJyaWRlIjp7ImlzTWFudWFsbHlPdmVycmlkZGVuIjpmYWxzZSwiY2l0ZXByb2NUZXh0IjoiPHN1cD4x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
          <w:id w:val="-702099805"/>
          <w:placeholder>
            <w:docPart w:val="DefaultPlaceholder_-1854013440"/>
          </w:placeholder>
        </w:sdtPr>
        <w:sdtEndPr/>
        <w:sdtContent>
          <w:r w:rsidR="00410BA2" w:rsidRPr="00C52C01">
            <w:rPr>
              <w:rFonts w:ascii="Calibri Light" w:eastAsia="Times New Roman" w:hAnsi="Calibri Light" w:cs="Calibri Light"/>
              <w:b w:val="0"/>
              <w:i w:val="0"/>
              <w:color w:val="000000"/>
              <w:vertAlign w:val="superscript"/>
            </w:rPr>
            <w:t>1</w:t>
          </w:r>
        </w:sdtContent>
      </w:sdt>
    </w:p>
    <w:p w14:paraId="0D6626AB"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Remove the old antibiotic lock solution from the IV line. Throw this away.</w:t>
      </w:r>
    </w:p>
    <w:p w14:paraId="22E62259"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Flush the IV line with saline.</w:t>
      </w:r>
    </w:p>
    <w:p w14:paraId="71C07AF5"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 xml:space="preserve">If you are using the IV line for another medication, inject the medication based on the instructions. </w:t>
      </w:r>
    </w:p>
    <w:p w14:paraId="003A05EA"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Flush the IV line with saline.</w:t>
      </w:r>
    </w:p>
    <w:p w14:paraId="4D018DB1" w14:textId="65CDAFD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Put 10ml of the antibiotic lock into the IV line.</w:t>
      </w:r>
      <w:r w:rsidR="004F094A" w:rsidRPr="00C52C01">
        <w:rPr>
          <w:rFonts w:ascii="Calibri Light" w:hAnsi="Calibri Light" w:cs="Calibri Light"/>
          <w:sz w:val="24"/>
          <w:szCs w:val="24"/>
        </w:rPr>
        <w:t xml:space="preserve"> </w:t>
      </w:r>
      <w:r w:rsidR="004F094A" w:rsidRPr="00C52C01">
        <w:rPr>
          <w:rFonts w:ascii="Calibri Light" w:hAnsi="Calibri Light" w:cs="Calibri Light"/>
        </w:rPr>
        <w:t>Do not flush it through.</w:t>
      </w:r>
    </w:p>
    <w:p w14:paraId="4FA5952B"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Repeat these steps for the other side of the IV line.</w:t>
      </w:r>
    </w:p>
    <w:p w14:paraId="1E5880FE" w14:textId="77777777" w:rsidR="00690A78" w:rsidRPr="00C52C01" w:rsidRDefault="00690A78" w:rsidP="00690A78">
      <w:pPr>
        <w:pStyle w:val="LISTwithnumbers"/>
        <w:rPr>
          <w:rFonts w:ascii="Calibri Light" w:hAnsi="Calibri Light" w:cs="Calibri Light"/>
          <w:sz w:val="24"/>
          <w:szCs w:val="24"/>
        </w:rPr>
      </w:pPr>
      <w:r w:rsidRPr="00C52C01">
        <w:rPr>
          <w:rFonts w:ascii="Calibri Light" w:hAnsi="Calibri Light" w:cs="Calibri Light"/>
          <w:sz w:val="24"/>
          <w:szCs w:val="24"/>
        </w:rPr>
        <w:t>Repeat these steps every 48 hours or each time you use the IV line.</w:t>
      </w:r>
    </w:p>
    <w:p w14:paraId="4F323ACC" w14:textId="77777777" w:rsidR="0012368C" w:rsidRDefault="0012368C" w:rsidP="00B14C70">
      <w:pPr>
        <w:pStyle w:val="TableParagraph"/>
        <w:rPr>
          <w:b/>
          <w:bCs/>
        </w:rPr>
      </w:pPr>
    </w:p>
    <w:p w14:paraId="779028A0" w14:textId="77777777" w:rsidR="0012368C" w:rsidRDefault="0012368C" w:rsidP="00B14C70">
      <w:pPr>
        <w:pStyle w:val="TableParagraph"/>
        <w:rPr>
          <w:b/>
          <w:bCs/>
        </w:rPr>
      </w:pPr>
    </w:p>
    <w:p w14:paraId="1F49C730" w14:textId="55068E5B" w:rsidR="006757AC" w:rsidRPr="00CB3BBE" w:rsidRDefault="006757AC" w:rsidP="00B14C70">
      <w:pPr>
        <w:pStyle w:val="TableParagraph"/>
        <w:rPr>
          <w:b/>
          <w:bCs/>
        </w:rPr>
      </w:pPr>
      <w:r w:rsidRPr="00CB3BBE">
        <w:rPr>
          <w:b/>
          <w:bCs/>
        </w:rPr>
        <w:t>Reference</w:t>
      </w:r>
    </w:p>
    <w:sdt>
      <w:sdtPr>
        <w:rPr>
          <w:rFonts w:eastAsiaTheme="minorHAnsi"/>
          <w:color w:val="2B579A"/>
          <w:shd w:val="clear" w:color="auto" w:fill="E6E6E6"/>
        </w:rPr>
        <w:tag w:val="MENDELEY_BIBLIOGRAPHY"/>
        <w:id w:val="1661579739"/>
        <w:placeholder>
          <w:docPart w:val="DefaultPlaceholder_-1854013440"/>
        </w:placeholder>
      </w:sdtPr>
      <w:sdtEndPr>
        <w:rPr>
          <w:rFonts w:eastAsia="Times New Roman"/>
        </w:rPr>
      </w:sdtEndPr>
      <w:sdtContent>
        <w:p w14:paraId="79B59926" w14:textId="57518AD1" w:rsidR="006757AC" w:rsidRDefault="00410BA2" w:rsidP="00C52C01">
          <w:pPr>
            <w:pStyle w:val="References"/>
          </w:pPr>
          <w:r w:rsidRPr="00AE75B4">
            <w:t>1.</w:t>
          </w:r>
          <w:r w:rsidRPr="00AE75B4">
            <w:tab/>
            <w:t xml:space="preserve">Justo JA, </w:t>
          </w:r>
          <w:proofErr w:type="spellStart"/>
          <w:r w:rsidRPr="00AE75B4">
            <w:t>Bookstaver</w:t>
          </w:r>
          <w:proofErr w:type="spellEnd"/>
          <w:r w:rsidRPr="00AE75B4">
            <w:t xml:space="preserve"> PB. Antibiotic lock therapy: Review of technique and logistical challenges. </w:t>
          </w:r>
          <w:r w:rsidRPr="00CB3BBE">
            <w:t>Infect Drug Resist</w:t>
          </w:r>
          <w:r w:rsidRPr="00AE75B4">
            <w:t>. 2014;7:343-363. doi:10.2147/IDR.S51388</w:t>
          </w:r>
          <w:r>
            <w:t> </w:t>
          </w:r>
        </w:p>
      </w:sdtContent>
    </w:sdt>
    <w:sectPr w:rsidR="006757AC" w:rsidSect="0047309F">
      <w:headerReference w:type="even" r:id="rId8"/>
      <w:headerReference w:type="default" r:id="rId9"/>
      <w:footerReference w:type="even" r:id="rId10"/>
      <w:footerReference w:type="default" r:id="rId11"/>
      <w:headerReference w:type="first" r:id="rId12"/>
      <w:footerReference w:type="first" r:id="rId13"/>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FB7F" w14:textId="77777777" w:rsidR="005B186B" w:rsidRDefault="005B186B" w:rsidP="009B626B">
      <w:r>
        <w:separator/>
      </w:r>
    </w:p>
  </w:endnote>
  <w:endnote w:type="continuationSeparator" w:id="0">
    <w:p w14:paraId="4E81291A" w14:textId="77777777" w:rsidR="005B186B" w:rsidRDefault="005B186B" w:rsidP="009B626B">
      <w:r>
        <w:continuationSeparator/>
      </w:r>
    </w:p>
  </w:endnote>
  <w:endnote w:type="continuationNotice" w:id="1">
    <w:p w14:paraId="0366087D" w14:textId="77777777" w:rsidR="005B186B" w:rsidRDefault="005B1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738229128" o:spid="_x0000_s1027" type="#_x0000_t202" alt="Document footer"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Pr="00CB3BBE" w:rsidRDefault="003F0A90" w:rsidP="00B50E71">
    <w:pPr>
      <w:pStyle w:val="Footer"/>
      <w:rPr>
        <w:sz w:val="18"/>
        <w:szCs w:val="18"/>
      </w:rPr>
    </w:pPr>
    <w:r w:rsidRPr="00CB3BBE">
      <w:rPr>
        <w:noProof/>
        <w:color w:val="2B579A"/>
        <w:sz w:val="18"/>
        <w:szCs w:val="18"/>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7033D8A">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Pr="00CB3BBE">
      <w:rPr>
        <w:noProof/>
        <w:color w:val="2B579A"/>
        <w:sz w:val="18"/>
        <w:szCs w:val="18"/>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02FF411E" w:rsidR="00225BCD" w:rsidRPr="00CB3BBE" w:rsidRDefault="00FD0FD7">
                          <w:pPr>
                            <w:rPr>
                              <w:b/>
                              <w:bCs/>
                              <w:color w:val="FFFFFF" w:themeColor="background1"/>
                              <w:sz w:val="18"/>
                              <w:szCs w:val="18"/>
                            </w:rPr>
                          </w:pPr>
                          <w:r w:rsidRPr="00CB3BBE">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65CE2" w14:textId="02FF411E" w:rsidR="00225BCD" w:rsidRPr="00CB3BBE" w:rsidRDefault="00FD0FD7">
                    <w:pPr>
                      <w:rPr>
                        <w:b/>
                        <w:bCs/>
                        <w:color w:val="FFFFFF" w:themeColor="background1"/>
                        <w:sz w:val="18"/>
                        <w:szCs w:val="18"/>
                      </w:rPr>
                    </w:pPr>
                    <w:r w:rsidRPr="00CB3BBE">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CB3BBE">
      <w:rPr>
        <w:noProof/>
        <w:color w:val="2B579A"/>
        <w:sz w:val="18"/>
        <w:szCs w:val="18"/>
        <w:shd w:val="clear" w:color="auto" w:fill="E6E6E6"/>
      </w:rPr>
      <mc:AlternateContent>
        <mc:Choice Requires="wps">
          <w:drawing>
            <wp:anchor distT="0" distB="0" distL="114300" distR="114300" simplePos="0" relativeHeight="251658241"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752FB9E">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sidRPr="00CB3BBE">
      <w:rPr>
        <w:noProof/>
        <w:color w:val="2B579A"/>
        <w:sz w:val="18"/>
        <w:szCs w:val="18"/>
        <w:shd w:val="clear" w:color="auto" w:fill="E6E6E6"/>
      </w:rPr>
      <w:drawing>
        <wp:anchor distT="0" distB="0" distL="114300" distR="114300" simplePos="0" relativeHeight="251658243" behindDoc="0" locked="0" layoutInCell="1" allowOverlap="1" wp14:anchorId="6F59296F" wp14:editId="6B4CE0F3">
          <wp:simplePos x="0" y="0"/>
          <wp:positionH relativeFrom="column">
            <wp:posOffset>5106571</wp:posOffset>
          </wp:positionH>
          <wp:positionV relativeFrom="paragraph">
            <wp:posOffset>46697</wp:posOffset>
          </wp:positionV>
          <wp:extent cx="1399791" cy="468923"/>
          <wp:effectExtent l="0" t="0" r="0" b="1270"/>
          <wp:wrapNone/>
          <wp:docPr id="1616228959" name="Picture 1616228959" descr="CLABSI Prevention collaborativ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10;"/>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6364" w14:textId="77777777" w:rsidR="005B186B" w:rsidRDefault="005B186B" w:rsidP="009B626B">
      <w:r>
        <w:separator/>
      </w:r>
    </w:p>
  </w:footnote>
  <w:footnote w:type="continuationSeparator" w:id="0">
    <w:p w14:paraId="37319741" w14:textId="77777777" w:rsidR="005B186B" w:rsidRDefault="005B186B" w:rsidP="009B626B">
      <w:r>
        <w:continuationSeparator/>
      </w:r>
    </w:p>
  </w:footnote>
  <w:footnote w:type="continuationNotice" w:id="1">
    <w:p w14:paraId="677845B3" w14:textId="77777777" w:rsidR="005B186B" w:rsidRDefault="005B1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A040" w14:textId="77777777" w:rsidR="0057692F" w:rsidRDefault="0057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xmlns:arto="http://schemas.microsoft.com/office/word/2006/arto">
          <w:pict w14:anchorId="65947368">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xmlns:arto="http://schemas.microsoft.com/office/word/2006/arto">
          <w:pict w14:anchorId="3F08F098">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xmlns:arto="http://schemas.microsoft.com/office/word/2006/arto">
          <w:pict w14:anchorId="67A6CAFA">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arto="http://schemas.microsoft.com/office/word/2006/arto">
          <w:pict w14:anchorId="13A88195">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9D9E2374"/>
    <w:lvl w:ilvl="0" w:tplc="C7A21826">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0014573E"/>
    <w:lvl w:ilvl="0" w:tplc="6D8E4E9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3979"/>
    <w:multiLevelType w:val="hybridMultilevel"/>
    <w:tmpl w:val="35E6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A4D57"/>
    <w:multiLevelType w:val="multilevel"/>
    <w:tmpl w:val="6E5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11FD0"/>
    <w:rsid w:val="00024D36"/>
    <w:rsid w:val="00027074"/>
    <w:rsid w:val="00057F2D"/>
    <w:rsid w:val="000B5537"/>
    <w:rsid w:val="000F39B8"/>
    <w:rsid w:val="0012368C"/>
    <w:rsid w:val="00192F1B"/>
    <w:rsid w:val="00213CA9"/>
    <w:rsid w:val="00225BCD"/>
    <w:rsid w:val="0023003C"/>
    <w:rsid w:val="002340C4"/>
    <w:rsid w:val="002750E9"/>
    <w:rsid w:val="002877C5"/>
    <w:rsid w:val="002D3753"/>
    <w:rsid w:val="002D66DC"/>
    <w:rsid w:val="002E6941"/>
    <w:rsid w:val="0030721D"/>
    <w:rsid w:val="00386505"/>
    <w:rsid w:val="003E6A00"/>
    <w:rsid w:val="003F0A90"/>
    <w:rsid w:val="00402BCF"/>
    <w:rsid w:val="00410BA2"/>
    <w:rsid w:val="0047309F"/>
    <w:rsid w:val="004F094A"/>
    <w:rsid w:val="00575968"/>
    <w:rsid w:val="0057692F"/>
    <w:rsid w:val="005B186B"/>
    <w:rsid w:val="005B1A78"/>
    <w:rsid w:val="0060507B"/>
    <w:rsid w:val="006757AC"/>
    <w:rsid w:val="006766C4"/>
    <w:rsid w:val="00690A78"/>
    <w:rsid w:val="006B4E5A"/>
    <w:rsid w:val="00712E0C"/>
    <w:rsid w:val="00716377"/>
    <w:rsid w:val="007540E8"/>
    <w:rsid w:val="00791C8F"/>
    <w:rsid w:val="008B4A55"/>
    <w:rsid w:val="009602EE"/>
    <w:rsid w:val="0099552C"/>
    <w:rsid w:val="009B49D4"/>
    <w:rsid w:val="009B626B"/>
    <w:rsid w:val="00A33795"/>
    <w:rsid w:val="00A951B9"/>
    <w:rsid w:val="00AA4386"/>
    <w:rsid w:val="00AA498F"/>
    <w:rsid w:val="00AA6E95"/>
    <w:rsid w:val="00AE75B4"/>
    <w:rsid w:val="00B14C70"/>
    <w:rsid w:val="00B50E71"/>
    <w:rsid w:val="00B54CF7"/>
    <w:rsid w:val="00BA1283"/>
    <w:rsid w:val="00BD18FE"/>
    <w:rsid w:val="00C10A7C"/>
    <w:rsid w:val="00C52C01"/>
    <w:rsid w:val="00C92DEE"/>
    <w:rsid w:val="00CA4403"/>
    <w:rsid w:val="00CB12B9"/>
    <w:rsid w:val="00CB3BBE"/>
    <w:rsid w:val="00CB631C"/>
    <w:rsid w:val="00D378A6"/>
    <w:rsid w:val="00D465BC"/>
    <w:rsid w:val="00D66BB3"/>
    <w:rsid w:val="00D7790A"/>
    <w:rsid w:val="00D869AF"/>
    <w:rsid w:val="00E05BEC"/>
    <w:rsid w:val="00E1462F"/>
    <w:rsid w:val="00E1505E"/>
    <w:rsid w:val="00E4328F"/>
    <w:rsid w:val="00E43AF3"/>
    <w:rsid w:val="00E531F7"/>
    <w:rsid w:val="00E535BC"/>
    <w:rsid w:val="00ED2531"/>
    <w:rsid w:val="00ED455F"/>
    <w:rsid w:val="00F04792"/>
    <w:rsid w:val="00F27E16"/>
    <w:rsid w:val="00F54853"/>
    <w:rsid w:val="00FC6B0F"/>
    <w:rsid w:val="00FD0FD7"/>
    <w:rsid w:val="08898585"/>
    <w:rsid w:val="3FF964D4"/>
    <w:rsid w:val="457CD0EB"/>
    <w:rsid w:val="539F70D4"/>
    <w:rsid w:val="68A4720C"/>
    <w:rsid w:val="7C74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656AFB74-156C-4922-8733-7960C5F2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14C70"/>
    <w:pPr>
      <w:numPr>
        <w:numId w:val="2"/>
      </w:numPr>
      <w:spacing w:after="160"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Normal"/>
    <w:qFormat/>
    <w:rsid w:val="00AE75B4"/>
    <w:pPr>
      <w:autoSpaceDE w:val="0"/>
      <w:autoSpaceDN w:val="0"/>
      <w:ind w:hanging="640"/>
    </w:pPr>
    <w:rPr>
      <w:rFonts w:asciiTheme="majorHAnsi" w:eastAsia="Times New Roman" w:hAnsiTheme="majorHAnsi" w:cstheme="majorHAnsi"/>
      <w:sz w:val="20"/>
      <w:szCs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customStyle="1" w:styleId="identifier">
    <w:name w:val="identifier"/>
    <w:basedOn w:val="DefaultParagraphFont"/>
    <w:rsid w:val="00690A78"/>
  </w:style>
  <w:style w:type="character" w:styleId="PlaceholderText">
    <w:name w:val="Placeholder Text"/>
    <w:basedOn w:val="DefaultParagraphFont"/>
    <w:uiPriority w:val="99"/>
    <w:semiHidden/>
    <w:rsid w:val="00410BA2"/>
    <w:rPr>
      <w:color w:val="80808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E75B4"/>
  </w:style>
  <w:style w:type="character" w:styleId="Hyperlink">
    <w:name w:val="Hyperlink"/>
    <w:basedOn w:val="DefaultParagraphFont"/>
    <w:uiPriority w:val="99"/>
    <w:unhideWhenUsed/>
    <w:rsid w:val="0099552C"/>
    <w:rPr>
      <w:color w:val="0563C1" w:themeColor="hyperlink"/>
      <w:u w:val="single"/>
    </w:rPr>
  </w:style>
  <w:style w:type="character" w:styleId="UnresolvedMention">
    <w:name w:val="Unresolved Mention"/>
    <w:basedOn w:val="DefaultParagraphFont"/>
    <w:uiPriority w:val="99"/>
    <w:semiHidden/>
    <w:unhideWhenUsed/>
    <w:rsid w:val="0099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1609">
      <w:bodyDiv w:val="1"/>
      <w:marLeft w:val="0"/>
      <w:marRight w:val="0"/>
      <w:marTop w:val="0"/>
      <w:marBottom w:val="0"/>
      <w:divBdr>
        <w:top w:val="none" w:sz="0" w:space="0" w:color="auto"/>
        <w:left w:val="none" w:sz="0" w:space="0" w:color="auto"/>
        <w:bottom w:val="none" w:sz="0" w:space="0" w:color="auto"/>
        <w:right w:val="none" w:sz="0" w:space="0" w:color="auto"/>
      </w:divBdr>
    </w:div>
    <w:div w:id="633870858">
      <w:bodyDiv w:val="1"/>
      <w:marLeft w:val="0"/>
      <w:marRight w:val="0"/>
      <w:marTop w:val="0"/>
      <w:marBottom w:val="0"/>
      <w:divBdr>
        <w:top w:val="none" w:sz="0" w:space="0" w:color="auto"/>
        <w:left w:val="none" w:sz="0" w:space="0" w:color="auto"/>
        <w:bottom w:val="none" w:sz="0" w:space="0" w:color="auto"/>
        <w:right w:val="none" w:sz="0" w:space="0" w:color="auto"/>
      </w:divBdr>
      <w:divsChild>
        <w:div w:id="664018801">
          <w:marLeft w:val="0"/>
          <w:marRight w:val="0"/>
          <w:marTop w:val="0"/>
          <w:marBottom w:val="0"/>
          <w:divBdr>
            <w:top w:val="none" w:sz="0" w:space="0" w:color="auto"/>
            <w:left w:val="none" w:sz="0" w:space="0" w:color="auto"/>
            <w:bottom w:val="none" w:sz="0" w:space="0" w:color="auto"/>
            <w:right w:val="none" w:sz="0" w:space="0" w:color="auto"/>
          </w:divBdr>
          <w:divsChild>
            <w:div w:id="212233275">
              <w:marLeft w:val="0"/>
              <w:marRight w:val="0"/>
              <w:marTop w:val="0"/>
              <w:marBottom w:val="0"/>
              <w:divBdr>
                <w:top w:val="none" w:sz="0" w:space="0" w:color="auto"/>
                <w:left w:val="none" w:sz="0" w:space="0" w:color="auto"/>
                <w:bottom w:val="none" w:sz="0" w:space="0" w:color="auto"/>
                <w:right w:val="none" w:sz="0" w:space="0" w:color="auto"/>
              </w:divBdr>
              <w:divsChild>
                <w:div w:id="1920939739">
                  <w:marLeft w:val="0"/>
                  <w:marRight w:val="0"/>
                  <w:marTop w:val="0"/>
                  <w:marBottom w:val="0"/>
                  <w:divBdr>
                    <w:top w:val="none" w:sz="0" w:space="0" w:color="auto"/>
                    <w:left w:val="none" w:sz="0" w:space="0" w:color="auto"/>
                    <w:bottom w:val="none" w:sz="0" w:space="0" w:color="auto"/>
                    <w:right w:val="none" w:sz="0" w:space="0" w:color="auto"/>
                  </w:divBdr>
                </w:div>
              </w:divsChild>
            </w:div>
            <w:div w:id="1072049813">
              <w:marLeft w:val="0"/>
              <w:marRight w:val="0"/>
              <w:marTop w:val="0"/>
              <w:marBottom w:val="0"/>
              <w:divBdr>
                <w:top w:val="none" w:sz="0" w:space="0" w:color="auto"/>
                <w:left w:val="none" w:sz="0" w:space="0" w:color="auto"/>
                <w:bottom w:val="none" w:sz="0" w:space="0" w:color="auto"/>
                <w:right w:val="none" w:sz="0" w:space="0" w:color="auto"/>
              </w:divBdr>
            </w:div>
          </w:divsChild>
        </w:div>
        <w:div w:id="1774861240">
          <w:marLeft w:val="0"/>
          <w:marRight w:val="0"/>
          <w:marTop w:val="0"/>
          <w:marBottom w:val="0"/>
          <w:divBdr>
            <w:top w:val="none" w:sz="0" w:space="0" w:color="auto"/>
            <w:left w:val="none" w:sz="0" w:space="0" w:color="auto"/>
            <w:bottom w:val="none" w:sz="0" w:space="0" w:color="auto"/>
            <w:right w:val="none" w:sz="0" w:space="0" w:color="auto"/>
          </w:divBdr>
          <w:divsChild>
            <w:div w:id="84110386">
              <w:marLeft w:val="0"/>
              <w:marRight w:val="0"/>
              <w:marTop w:val="0"/>
              <w:marBottom w:val="0"/>
              <w:divBdr>
                <w:top w:val="none" w:sz="0" w:space="0" w:color="auto"/>
                <w:left w:val="none" w:sz="0" w:space="0" w:color="auto"/>
                <w:bottom w:val="none" w:sz="0" w:space="0" w:color="auto"/>
                <w:right w:val="none" w:sz="0" w:space="0" w:color="auto"/>
              </w:divBdr>
              <w:divsChild>
                <w:div w:id="980772578">
                  <w:marLeft w:val="0"/>
                  <w:marRight w:val="0"/>
                  <w:marTop w:val="0"/>
                  <w:marBottom w:val="0"/>
                  <w:divBdr>
                    <w:top w:val="none" w:sz="0" w:space="0" w:color="auto"/>
                    <w:left w:val="none" w:sz="0" w:space="0" w:color="auto"/>
                    <w:bottom w:val="none" w:sz="0" w:space="0" w:color="auto"/>
                    <w:right w:val="none" w:sz="0" w:space="0" w:color="auto"/>
                  </w:divBdr>
                </w:div>
              </w:divsChild>
            </w:div>
            <w:div w:id="165901002">
              <w:marLeft w:val="0"/>
              <w:marRight w:val="0"/>
              <w:marTop w:val="0"/>
              <w:marBottom w:val="0"/>
              <w:divBdr>
                <w:top w:val="none" w:sz="0" w:space="0" w:color="auto"/>
                <w:left w:val="none" w:sz="0" w:space="0" w:color="auto"/>
                <w:bottom w:val="none" w:sz="0" w:space="0" w:color="auto"/>
                <w:right w:val="none" w:sz="0" w:space="0" w:color="auto"/>
              </w:divBdr>
              <w:divsChild>
                <w:div w:id="688946827">
                  <w:marLeft w:val="0"/>
                  <w:marRight w:val="0"/>
                  <w:marTop w:val="0"/>
                  <w:marBottom w:val="0"/>
                  <w:divBdr>
                    <w:top w:val="none" w:sz="0" w:space="0" w:color="auto"/>
                    <w:left w:val="none" w:sz="0" w:space="0" w:color="auto"/>
                    <w:bottom w:val="none" w:sz="0" w:space="0" w:color="auto"/>
                    <w:right w:val="none" w:sz="0" w:space="0" w:color="auto"/>
                  </w:divBdr>
                  <w:divsChild>
                    <w:div w:id="1427001924">
                      <w:marLeft w:val="0"/>
                      <w:marRight w:val="0"/>
                      <w:marTop w:val="0"/>
                      <w:marBottom w:val="0"/>
                      <w:divBdr>
                        <w:top w:val="none" w:sz="0" w:space="0" w:color="auto"/>
                        <w:left w:val="none" w:sz="0" w:space="0" w:color="auto"/>
                        <w:bottom w:val="none" w:sz="0" w:space="0" w:color="auto"/>
                        <w:right w:val="none" w:sz="0" w:space="0" w:color="auto"/>
                      </w:divBdr>
                    </w:div>
                  </w:divsChild>
                </w:div>
                <w:div w:id="1122960705">
                  <w:marLeft w:val="0"/>
                  <w:marRight w:val="0"/>
                  <w:marTop w:val="0"/>
                  <w:marBottom w:val="0"/>
                  <w:divBdr>
                    <w:top w:val="none" w:sz="0" w:space="0" w:color="auto"/>
                    <w:left w:val="none" w:sz="0" w:space="0" w:color="auto"/>
                    <w:bottom w:val="none" w:sz="0" w:space="0" w:color="auto"/>
                    <w:right w:val="none" w:sz="0" w:space="0" w:color="auto"/>
                  </w:divBdr>
                  <w:divsChild>
                    <w:div w:id="1241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158">
      <w:bodyDiv w:val="1"/>
      <w:marLeft w:val="0"/>
      <w:marRight w:val="0"/>
      <w:marTop w:val="0"/>
      <w:marBottom w:val="0"/>
      <w:divBdr>
        <w:top w:val="none" w:sz="0" w:space="0" w:color="auto"/>
        <w:left w:val="none" w:sz="0" w:space="0" w:color="auto"/>
        <w:bottom w:val="none" w:sz="0" w:space="0" w:color="auto"/>
        <w:right w:val="none" w:sz="0" w:space="0" w:color="auto"/>
      </w:divBdr>
    </w:div>
    <w:div w:id="1088186077">
      <w:bodyDiv w:val="1"/>
      <w:marLeft w:val="0"/>
      <w:marRight w:val="0"/>
      <w:marTop w:val="0"/>
      <w:marBottom w:val="0"/>
      <w:divBdr>
        <w:top w:val="none" w:sz="0" w:space="0" w:color="auto"/>
        <w:left w:val="none" w:sz="0" w:space="0" w:color="auto"/>
        <w:bottom w:val="none" w:sz="0" w:space="0" w:color="auto"/>
        <w:right w:val="none" w:sz="0" w:space="0" w:color="auto"/>
      </w:divBdr>
      <w:divsChild>
        <w:div w:id="1445151249">
          <w:marLeft w:val="0"/>
          <w:marRight w:val="0"/>
          <w:marTop w:val="0"/>
          <w:marBottom w:val="0"/>
          <w:divBdr>
            <w:top w:val="none" w:sz="0" w:space="0" w:color="auto"/>
            <w:left w:val="none" w:sz="0" w:space="0" w:color="auto"/>
            <w:bottom w:val="none" w:sz="0" w:space="0" w:color="auto"/>
            <w:right w:val="none" w:sz="0" w:space="0" w:color="auto"/>
          </w:divBdr>
          <w:divsChild>
            <w:div w:id="83263487">
              <w:marLeft w:val="0"/>
              <w:marRight w:val="0"/>
              <w:marTop w:val="0"/>
              <w:marBottom w:val="0"/>
              <w:divBdr>
                <w:top w:val="none" w:sz="0" w:space="0" w:color="auto"/>
                <w:left w:val="none" w:sz="0" w:space="0" w:color="auto"/>
                <w:bottom w:val="none" w:sz="0" w:space="0" w:color="auto"/>
                <w:right w:val="none" w:sz="0" w:space="0" w:color="auto"/>
              </w:divBdr>
              <w:divsChild>
                <w:div w:id="1834644905">
                  <w:marLeft w:val="0"/>
                  <w:marRight w:val="0"/>
                  <w:marTop w:val="0"/>
                  <w:marBottom w:val="0"/>
                  <w:divBdr>
                    <w:top w:val="none" w:sz="0" w:space="0" w:color="auto"/>
                    <w:left w:val="none" w:sz="0" w:space="0" w:color="auto"/>
                    <w:bottom w:val="none" w:sz="0" w:space="0" w:color="auto"/>
                    <w:right w:val="none" w:sz="0" w:space="0" w:color="auto"/>
                  </w:divBdr>
                </w:div>
              </w:divsChild>
            </w:div>
            <w:div w:id="421609509">
              <w:marLeft w:val="0"/>
              <w:marRight w:val="0"/>
              <w:marTop w:val="0"/>
              <w:marBottom w:val="0"/>
              <w:divBdr>
                <w:top w:val="none" w:sz="0" w:space="0" w:color="auto"/>
                <w:left w:val="none" w:sz="0" w:space="0" w:color="auto"/>
                <w:bottom w:val="none" w:sz="0" w:space="0" w:color="auto"/>
                <w:right w:val="none" w:sz="0" w:space="0" w:color="auto"/>
              </w:divBdr>
            </w:div>
          </w:divsChild>
        </w:div>
        <w:div w:id="1647247992">
          <w:marLeft w:val="0"/>
          <w:marRight w:val="0"/>
          <w:marTop w:val="0"/>
          <w:marBottom w:val="0"/>
          <w:divBdr>
            <w:top w:val="none" w:sz="0" w:space="0" w:color="auto"/>
            <w:left w:val="none" w:sz="0" w:space="0" w:color="auto"/>
            <w:bottom w:val="none" w:sz="0" w:space="0" w:color="auto"/>
            <w:right w:val="none" w:sz="0" w:space="0" w:color="auto"/>
          </w:divBdr>
          <w:divsChild>
            <w:div w:id="736972967">
              <w:marLeft w:val="0"/>
              <w:marRight w:val="0"/>
              <w:marTop w:val="0"/>
              <w:marBottom w:val="0"/>
              <w:divBdr>
                <w:top w:val="none" w:sz="0" w:space="0" w:color="auto"/>
                <w:left w:val="none" w:sz="0" w:space="0" w:color="auto"/>
                <w:bottom w:val="none" w:sz="0" w:space="0" w:color="auto"/>
                <w:right w:val="none" w:sz="0" w:space="0" w:color="auto"/>
              </w:divBdr>
              <w:divsChild>
                <w:div w:id="607079037">
                  <w:marLeft w:val="0"/>
                  <w:marRight w:val="0"/>
                  <w:marTop w:val="0"/>
                  <w:marBottom w:val="0"/>
                  <w:divBdr>
                    <w:top w:val="none" w:sz="0" w:space="0" w:color="auto"/>
                    <w:left w:val="none" w:sz="0" w:space="0" w:color="auto"/>
                    <w:bottom w:val="none" w:sz="0" w:space="0" w:color="auto"/>
                    <w:right w:val="none" w:sz="0" w:space="0" w:color="auto"/>
                  </w:divBdr>
                </w:div>
              </w:divsChild>
            </w:div>
            <w:div w:id="1783068846">
              <w:marLeft w:val="0"/>
              <w:marRight w:val="0"/>
              <w:marTop w:val="0"/>
              <w:marBottom w:val="0"/>
              <w:divBdr>
                <w:top w:val="none" w:sz="0" w:space="0" w:color="auto"/>
                <w:left w:val="none" w:sz="0" w:space="0" w:color="auto"/>
                <w:bottom w:val="none" w:sz="0" w:space="0" w:color="auto"/>
                <w:right w:val="none" w:sz="0" w:space="0" w:color="auto"/>
              </w:divBdr>
              <w:divsChild>
                <w:div w:id="365564189">
                  <w:marLeft w:val="0"/>
                  <w:marRight w:val="0"/>
                  <w:marTop w:val="0"/>
                  <w:marBottom w:val="0"/>
                  <w:divBdr>
                    <w:top w:val="none" w:sz="0" w:space="0" w:color="auto"/>
                    <w:left w:val="none" w:sz="0" w:space="0" w:color="auto"/>
                    <w:bottom w:val="none" w:sz="0" w:space="0" w:color="auto"/>
                    <w:right w:val="none" w:sz="0" w:space="0" w:color="auto"/>
                  </w:divBdr>
                  <w:divsChild>
                    <w:div w:id="1235891818">
                      <w:marLeft w:val="0"/>
                      <w:marRight w:val="0"/>
                      <w:marTop w:val="0"/>
                      <w:marBottom w:val="0"/>
                      <w:divBdr>
                        <w:top w:val="none" w:sz="0" w:space="0" w:color="auto"/>
                        <w:left w:val="none" w:sz="0" w:space="0" w:color="auto"/>
                        <w:bottom w:val="none" w:sz="0" w:space="0" w:color="auto"/>
                        <w:right w:val="none" w:sz="0" w:space="0" w:color="auto"/>
                      </w:divBdr>
                    </w:div>
                  </w:divsChild>
                </w:div>
                <w:div w:id="1116409476">
                  <w:marLeft w:val="0"/>
                  <w:marRight w:val="0"/>
                  <w:marTop w:val="0"/>
                  <w:marBottom w:val="0"/>
                  <w:divBdr>
                    <w:top w:val="none" w:sz="0" w:space="0" w:color="auto"/>
                    <w:left w:val="none" w:sz="0" w:space="0" w:color="auto"/>
                    <w:bottom w:val="none" w:sz="0" w:space="0" w:color="auto"/>
                    <w:right w:val="none" w:sz="0" w:space="0" w:color="auto"/>
                  </w:divBdr>
                  <w:divsChild>
                    <w:div w:id="435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3938">
      <w:bodyDiv w:val="1"/>
      <w:marLeft w:val="0"/>
      <w:marRight w:val="0"/>
      <w:marTop w:val="0"/>
      <w:marBottom w:val="0"/>
      <w:divBdr>
        <w:top w:val="none" w:sz="0" w:space="0" w:color="auto"/>
        <w:left w:val="none" w:sz="0" w:space="0" w:color="auto"/>
        <w:bottom w:val="none" w:sz="0" w:space="0" w:color="auto"/>
        <w:right w:val="none" w:sz="0" w:space="0" w:color="auto"/>
      </w:divBdr>
      <w:divsChild>
        <w:div w:id="22361143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B4FE1D-9207-4F49-A586-09A8D5692DFC}"/>
      </w:docPartPr>
      <w:docPartBody>
        <w:p w:rsidR="00A54C2E" w:rsidRDefault="006A2E21">
          <w:r w:rsidRPr="00435A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E21"/>
    <w:rsid w:val="006A2E21"/>
    <w:rsid w:val="00757A93"/>
    <w:rsid w:val="009938B1"/>
    <w:rsid w:val="00A54C2E"/>
    <w:rsid w:val="00DD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DA1651-A9C0-4EEF-94FC-F55FC56F0AD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1d97e250-e9b7-4716-8b3e-6795d412fb3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&quot;,&quot;citationItems&quot;:[{&quot;id&quot;:&quot;bb561a00-39b5-3606-a0d3-856207fe7a51&quot;,&quot;itemData&quot;:{&quot;type&quot;:&quot;article-journal&quot;,&quot;id&quot;:&quot;bb561a00-39b5-3606-a0d3-856207fe7a51&quot;,&quot;title&quot;:&quot;Antibiotic lock therapy: Review of technique and logistical challenges&quot;,&quot;author&quot;:[{&quot;family&quot;:&quot;Justo&quot;,&quot;given&quot;:&quot;Julie Ann&quot;,&quot;parse-names&quot;:false,&quot;dropping-particle&quot;:&quot;&quot;,&quot;non-dropping-particle&quot;:&quot;&quot;},{&quot;family&quot;:&quot;Bookstaver&quot;,&quot;given&quot;:&quot;P. Brandon&quot;,&quot;parse-names&quot;:false,&quot;dropping-particle&quot;:&quot;&quot;,&quot;non-dropping-particle&quot;:&quot;&quot;}],&quot;container-title&quot;:&quot;Infection and Drug Resistance&quot;,&quot;container-title-short&quot;:&quot;Infect Drug Resist&quot;,&quot;DOI&quot;:&quot;10.2147/IDR.S51388&quot;,&quot;ISSN&quot;:&quot;11786973&quot;,&quot;issued&quot;:{&quot;date-parts&quot;:[[2014]]},&quot;page&quot;:&quot;343-363&quot;,&quot;abstract&quot;:&quot;Antibiotic lock therapy (ALT) for the prevention and treatment of catheter-related bloodstream infections is a simple strategy in theory, yet its real-world application may be delayed or avoided due to technical questions and/or logistical challenges. This review focuses on these latter aspects of ALT, including preparation information for a variety of antibiotic lock solutions (ie, aminoglycosides, beta-lactams, fluoroquinolones, folate antagonists, glycopeptides, glycylcyclines, lipopeptides, oxazolidinones, polymyxins, and tetracyclines) and common clinical issues surrounding ALT administration. Detailed data regarding concentrations, additives, stability/compatibility, and dwell times are summarized. Logistical challenges such as lock preparation procedures, use of additives (eg, heparin, citrate, or ethylenediaminetetraacetic acid), timing of initiation and therapy duration, optimal dwell time and catheter accessibility, and risks of ALT are also described. Development of local protocols is recommended in order to avoid these potential barriers and encourage utilization of ALT where appropriate.&quot;,&quot;volume&quot;:&quot;7&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7B48-9065-4A57-B882-A86AFA36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37</cp:revision>
  <dcterms:created xsi:type="dcterms:W3CDTF">2023-06-26T19:05:00Z</dcterms:created>
  <dcterms:modified xsi:type="dcterms:W3CDTF">2024-03-26T22:43:00Z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